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widowControl w:val="0"/>
        <w:spacing w:line="380" w:lineRule="atLeast"/>
        <w:rPr>
          <w:rFonts w:ascii="Helvetica Neue" w:cs="Helvetica Neue" w:hAnsi="Helvetica Neue" w:eastAsia="Helvetica Neue"/>
          <w:b w:val="1"/>
          <w:bCs w:val="1"/>
          <w:color w:val="202020"/>
          <w:sz w:val="26"/>
          <w:szCs w:val="26"/>
        </w:rPr>
      </w:pPr>
      <w:r>
        <w:rPr>
          <w:rFonts w:ascii="Helvetica Neue" w:hAnsi="Helvetica Neue"/>
          <w:b w:val="1"/>
          <w:bCs w:val="1"/>
          <w:color w:val="202020"/>
          <w:sz w:val="26"/>
          <w:szCs w:val="26"/>
          <w:rtl w:val="0"/>
          <w:lang w:val="en-US"/>
        </w:rPr>
        <w:t xml:space="preserve">Target Market Example - Online Shopping Customer </w:t>
      </w:r>
    </w:p>
    <w:p>
      <w:pPr>
        <w:pStyle w:val="Normal.0"/>
        <w:widowControl w:val="0"/>
        <w:spacing w:line="380" w:lineRule="atLeast"/>
        <w:rPr>
          <w:rFonts w:ascii="Helvetica Neue" w:cs="Helvetica Neue" w:hAnsi="Helvetica Neue" w:eastAsia="Helvetica Neue"/>
          <w:b w:val="1"/>
          <w:bCs w:val="1"/>
          <w:color w:val="202020"/>
          <w:sz w:val="26"/>
          <w:szCs w:val="26"/>
        </w:rPr>
      </w:pPr>
    </w:p>
    <w:tbl>
      <w:tblPr>
        <w:tblW w:w="108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754"/>
        <w:gridCol w:w="2046"/>
      </w:tblGrid>
      <w:tr>
        <w:tblPrEx>
          <w:shd w:val="clear" w:color="auto" w:fill="bdc0bf"/>
        </w:tblPrEx>
        <w:trPr>
          <w:trHeight w:val="488" w:hRule="atLeast"/>
          <w:tblHeader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Target Market Characteristic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Beginning to plan for their future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 financially</w:t>
            </w:r>
          </w:p>
        </w:tc>
        <w:tc>
          <w:tcPr>
            <w:tcW w:type="dxa" w:w="204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Between the ages of 2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5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-35.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Buys multiple products at a time, usually in higher quantities.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Compares items in store and purchases them online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Condominium or home owner.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Disposable Income due to no children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Earning annual income of $50,000 or greater.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Education experiences beyond high school.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Excited about accepting and using innovative ideas and products.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Fast checkout, easy access to all items,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quantity and options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 for sizes and seasonal colors.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Free Shipping or other shipping options are 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expected as well as loyalty offers.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Frequent shoppers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If they like the look of something, they will get it even if they haven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’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t tried it on yet.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Increasing resources invested into safety and security issues.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Listens to their friends reviews about products and trusts them.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380" w:lineRule="atLeast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Lives within the ZIP codes 97401, 97402 and 97405.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Married.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sz w:val="20"/>
                <w:szCs w:val="20"/>
                <w:rtl w:val="0"/>
                <w:lang w:val="en-US"/>
              </w:rPr>
              <w:t xml:space="preserve">Prefers 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Online Shopping to going to the actual store.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Return Policy 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must be great customer due to many returns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Salaried Professional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Shops around 1 time a week for new clothing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5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</w:rPr>
              <w:t xml:space="preserve">Single, but dating.  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Tends to always shop at Von Mauer, Buckle, Banana Republic, and some Boutiques.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Urban and New Suburban Housing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Values time and considers it their single most limited resource.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Wants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 internet shopping convenient by remembering 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shopping information</w:t>
            </w: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 xml:space="preserve"> but remains well protected.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8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940"/>
                <w:tab w:val="left" w:pos="1440"/>
              </w:tabs>
              <w:spacing w:after="240" w:line="320" w:lineRule="atLeast"/>
              <w:ind w:left="500" w:hanging="500"/>
            </w:pPr>
            <w:r>
              <w:rPr>
                <w:rFonts w:ascii="Helvetica" w:hAnsi="Helvetica"/>
                <w:color w:val="202020"/>
                <w:sz w:val="20"/>
                <w:szCs w:val="20"/>
                <w:rtl w:val="0"/>
                <w:lang w:val="en-US"/>
              </w:rPr>
              <w:t>Would rather buy online than through the store</w:t>
            </w:r>
          </w:p>
        </w:tc>
        <w:tc>
          <w:tcPr>
            <w:tcW w:type="dxa" w:w="20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380" w:lineRule="atLeast"/>
        <w:rPr>
          <w:rFonts w:ascii="Helvetica Neue" w:cs="Helvetica Neue" w:hAnsi="Helvetica Neue" w:eastAsia="Helvetica Neue"/>
          <w:color w:val="202020"/>
          <w:sz w:val="26"/>
          <w:szCs w:val="26"/>
        </w:rPr>
      </w:pPr>
    </w:p>
    <w:p>
      <w:pPr>
        <w:pStyle w:val="Normal.0"/>
        <w:widowControl w:val="0"/>
        <w:tabs>
          <w:tab w:val="left" w:pos="940"/>
          <w:tab w:val="left" w:pos="1440"/>
        </w:tabs>
        <w:spacing w:after="240" w:line="320" w:lineRule="atLeast"/>
        <w:ind w:left="500" w:hanging="500"/>
      </w:pPr>
      <w:r>
        <w:rPr>
          <w:rFonts w:ascii="Helvetica Neue" w:cs="Helvetica Neue" w:hAnsi="Helvetica Neue" w:eastAsia="Helvetica Neue"/>
          <w:color w:val="202020"/>
          <w:sz w:val="26"/>
          <w:szCs w:val="26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mbria"/>
        <a:ea typeface="Cambria"/>
        <a:cs typeface="Cambri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